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Arial" w:cs="Arial" w:eastAsia="Arial" w:hAnsi="Arial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left"/>
      </w:pPr>
      <w:r>
        <w:rPr>
          <w:rFonts w:ascii="Arial" w:cs="Arial" w:eastAsia="Arial" w:hAnsi="Arial"/>
          <w:b/>
          <w:bCs/>
          <w:color w:val="444444"/>
          <w:sz w:val="22"/>
          <w:szCs w:val="22"/>
        </w:rPr>
        <w:t xml:space="preserve">CONTADOR PÚBLICO</w:t>
      </w:r>
    </w:p>
    <w:p>
      <w:pPr>
        <w:spacing w:after="160"/>
        <w:jc w:val="left"/>
      </w:pPr>
      <w:r>
        <w:rPr>
          <w:rFonts w:ascii="Arial" w:cs="Arial" w:eastAsia="Arial" w:hAnsi="Arial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Arial" w:cs="Arial" w:eastAsia="Arial" w:hAnsi="Arial"/>
          <w:sz w:val="21"/>
          <w:szCs w:val="21"/>
        </w:rPr>
        <w:t xml:space="preserve">Contadora pública con tarjeta profesional vigente y 8 años de experiencia liderando la contabilidad de empresas comerciales y de servicios con facturación de hasta $40.000 millones anuales. Cierres mensuales, estados financieros bajo NIIF, impuestos nacionales y distritales, información exógena y atención de requerimientos de la DIAN sin sanciones. Manejo de SAP Business One, Siigo y Excel avanzado. Busco un cargo de contadora general o jefe de contabilidad.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CONTADORA GENERAL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Enero 2021 – Actual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Distribuidora Farmacéutica Roma S.A.S.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Responsable de la contabilidad de una empresa con facturación de $40.000 millones anuales y un equipo de 4 auxiliares.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Presenté a tiempo el 100 % de las obligaciones tributarias (renta, IVA, retención, ICA, exógena) durante 5 años sin sanciones.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Atendí 3 requerimientos de la DIAN con cierre favorable y reduje el tiempo de cierre mensual de 12 a 7 días hábiles.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CONTADORA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Marzo 2017 – Diciembre 2020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Consultores Tributarios Asociados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Llevé la contabilidad y los impuestos de 15 clientes pyme de distintos sectores en Siigo y World Office.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Implementé NIIF para pymes en 9 empresas cliente con estados financieros certificados.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ESPECIALIZACIÓN EN GERENCIA TRIBUTARIA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2020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Externado de Colombia, Bogotá</w:t>
      </w:r>
    </w:p>
    <w:p>
      <w:pPr>
        <w:spacing w:after="20" w:before="8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CONTADURÍA PÚBLICA</w:t>
      </w:r>
      <w:r>
        <w:rPr>
          <w:rFonts w:ascii="Arial" w:cs="Arial" w:eastAsia="Arial" w:hAnsi="Arial"/>
          <w:b/>
          <w:bCs/>
          <w:sz w:val="21"/>
          <w:szCs w:val="21"/>
        </w:rPr>
        <w:ptab w:alignment="right" w:relativeTo="margin" w:leader="none"/>
        <w:t xml:space="preserve">2016</w:t>
      </w:r>
    </w:p>
    <w:p>
      <w:pPr>
        <w:spacing w:after="40"/>
      </w:pPr>
      <w:r>
        <w:rPr>
          <w:rFonts w:ascii="Arial" w:cs="Arial" w:eastAsia="Arial" w:hAnsi="Arial"/>
          <w:i w:val="false"/>
          <w:iCs w:val="false"/>
          <w:color w:val="333333"/>
          <w:sz w:val="21"/>
          <w:szCs w:val="21"/>
        </w:rPr>
        <w:t xml:space="preserve">Universidad Central, Bogotá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Tarjeta profesional de contador público — Junta Central de Contadores, vigente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SAP Business One: finanzas — 2022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Arial" w:cs="Arial" w:eastAsia="Arial" w:hAnsi="Arial"/>
          <w:sz w:val="21"/>
          <w:szCs w:val="21"/>
        </w:rPr>
        <w:t xml:space="preserve">Actualización tributaria anual — 2025</w:t>
      </w:r>
    </w:p>
    <w:p>
      <w:pPr>
        <w:pBdr>
          <w:bottom w:val="single" w:color="000000" w:sz="16" w:space="2"/>
        </w:pBdr>
        <w:spacing w:after="80" w:before="200"/>
      </w:pPr>
      <w:r>
        <w:rPr>
          <w:rFonts w:ascii="Arial" w:cs="Arial" w:eastAsia="Arial" w:hAnsi="Arial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Arial" w:cs="Arial" w:eastAsia="Arial" w:hAnsi="Arial"/>
          <w:sz w:val="21"/>
          <w:szCs w:val="21"/>
        </w:rPr>
        <w:t xml:space="preserve">Estados financieros bajo NIIF, Cierre contable, Impuestos nacionales y distritales, Información exógena, Atención de requerimientos DIAN, SAP Business One, Siigo y World Office, Excel avanzado, Conciliaciones y control interno, Liderazgo de equipos contables, Nómina electrónica, Facturación electrónica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contador público — ejemplo en formato ATS (bold) — cvats.online</dc:title>
  <dc:creator>cvats.online</dc:creator>
  <cp:keywords>hoja de vida para contador, formato ATS, Colombia</cp:keywords>
  <dc:description>Ejemplo de hoja de vida para contador público con formato ATS. Reemplaza el texto de ejemplo por tus datos.</dc:description>
  <cp:lastModifiedBy>Un-named</cp:lastModifiedBy>
  <cp:revision>1</cp:revision>
  <dcterms:created xsi:type="dcterms:W3CDTF">2026-08-22T04:47:18.617Z</dcterms:created>
  <dcterms:modified xsi:type="dcterms:W3CDTF">2026-08-22T04:47:18.617Z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