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6"/>
          <w:szCs w:val="46"/>
        </w:rPr>
        <w:t xml:space="preserve">ANDREA CAROLINA MEJÍA TORRES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color w:val="000000"/>
          <w:spacing w:val="20"/>
          <w:sz w:val="22"/>
          <w:szCs w:val="22"/>
        </w:rPr>
        <w:t xml:space="preserve">ANALISTA DE MARKETING DIGITAL</w:t>
      </w:r>
    </w:p>
    <w:p>
      <w:pPr>
        <w:pBdr>
          <w:bottom w:val="single" w:color="000000" w:sz="8" w:space="6"/>
        </w:pBdr>
        <w:spacing w:after="160"/>
        <w:jc w:val="left"/>
      </w:pPr>
      <w:r>
        <w:rPr>
          <w:rFonts w:ascii="Calibri" w:cs="Calibri" w:eastAsia="Calibri" w:hAnsi="Calibri"/>
          <w:color w:val="444444"/>
          <w:sz w:val="20"/>
          <w:szCs w:val="20"/>
        </w:rPr>
        <w:t xml:space="preserve">Bogotá, Colombia  |  315 555 4321  |  andrea.mejia.t@gmail.com  |  linkedin.com/in/andreamejiat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PERFIL PROFESIONAL</w:t>
      </w:r>
    </w:p>
    <w:p>
      <w:pPr>
        <w:spacing w:after="6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Analista de marketing digital con 4 años de experiencia en campañas de performance y analítica web para el sector retail. Manejo de Google Ads, Meta Ads, GA4 y Looker Studio. Experiencia liderando presupuestos de hasta $80 millones COP mensuales.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EXPERIENCIA LABORAL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ANALISTA DE MARKETING DIGITAL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Marzo 2023 – Actual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Grupo Retail Andino S.A.S.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Reduje el costo por adquisición un 34 % en 8 meses optimizando la segmentación de campañas en Meta Ads.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Gestioné un presupuesto mensual de $80M COP en Google Ads con un ROAS promedio de 4,2.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Implementé el tracking de GA4 en 3 sitios, recuperando la medición de conversiones tras la migración.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AUXILIAR DE MARKETING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Enero 2022 – Febrero 2023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Comercializadora El Roble Ltda. — Bogotá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Aumenté el tráfico orgánico un 60 % en 12 meses con una estrategia de contenidos de 40 artículos.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Coordiné 15 campañas de email marketing con una tasa de apertura promedio del 28 %.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EDUCACIÓN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sz w:val="21"/>
          <w:szCs w:val="21"/>
        </w:rPr>
        <w:t xml:space="preserve">PROFESIONAL EN MERCADEO Y PUBLICIDAD</w:t>
      </w:r>
      <w:r>
        <w:rPr>
          <w:rFonts w:ascii="Calibri" w:cs="Calibri" w:eastAsia="Calibri" w:hAnsi="Calibri"/>
          <w:b/>
          <w:bCs/>
          <w:sz w:val="21"/>
          <w:szCs w:val="21"/>
        </w:rPr>
        <w:ptab w:alignment="right" w:relativeTo="margin" w:leader="none"/>
        <w:t xml:space="preserve">2017 – 2021</w:t>
      </w:r>
    </w:p>
    <w:p>
      <w:pPr>
        <w:spacing w:after="40"/>
      </w:pPr>
      <w:r>
        <w:rPr>
          <w:rFonts w:ascii="Calibri" w:cs="Calibri" w:eastAsia="Calibri" w:hAnsi="Calibri"/>
          <w:i/>
          <w:iCs/>
          <w:color w:val="333333"/>
          <w:sz w:val="21"/>
          <w:szCs w:val="21"/>
        </w:rPr>
        <w:t xml:space="preserve">Universidad Jorge Tadeo Lozano, Bogotá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CERTIFICACIONES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Certificación en Google Analytics 4 — Google, 2024</w:t>
      </w:r>
    </w:p>
    <w:p>
      <w:pPr>
        <w:pStyle w:val="ListParagraph"/>
        <w:numPr>
          <w:ilvl w:val="0"/>
          <w:numId w:val="2"/>
        </w:numPr>
        <w:spacing w:after="40"/>
        <w:jc w:val="left"/>
      </w:pPr>
      <w:r>
        <w:rPr>
          <w:rFonts w:ascii="Calibri" w:cs="Calibri" w:eastAsia="Calibri" w:hAnsi="Calibri"/>
          <w:sz w:val="21"/>
          <w:szCs w:val="21"/>
        </w:rPr>
        <w:t xml:space="preserve">Certificación en Meta Ads — Meta Blueprint, 2023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HABILIDADES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Google Ads, Meta Ads Manager, GA4, Looker Studio, Google Tag Manager, HubSpot, Excel avanzado, Growth marketing, A/B testing, Embudos de conversión, Atribución multicanal</w:t>
      </w:r>
    </w:p>
    <w:p>
      <w:pPr>
        <w:pBdr>
          <w:bottom w:val="single" w:color="CCCCCC" w:sz="4" w:space="2"/>
        </w:pBdr>
        <w:spacing w:after="80" w:before="20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IDIOMAS</w:t>
      </w:r>
    </w:p>
    <w:p>
      <w:pPr>
        <w:spacing w:after="60"/>
      </w:pPr>
      <w:r>
        <w:rPr>
          <w:rFonts w:ascii="Calibri" w:cs="Calibri" w:eastAsia="Calibri" w:hAnsi="Calibri"/>
          <w:sz w:val="21"/>
          <w:szCs w:val="21"/>
        </w:rPr>
        <w:t xml:space="preserve">Español (nativo), Inglés (B2)</w:t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vida ATS — plantilla standard — cvats.online</dc:title>
  <dc:creator>cvats.online</dc:creator>
  <cp:keywords>hoja de vida ATS, formato ATS, plantilla hoja de vida, Colombia</cp:keywords>
  <dc:description>Plantilla de hoja de vida con formato ATS. Una columna, sin tablas, texto seleccionable.</dc:description>
  <cp:lastModifiedBy>Un-named</cp:lastModifiedBy>
  <cp:revision>1</cp:revision>
  <dcterms:created xsi:type="dcterms:W3CDTF">2026-08-22T04:03:29.121Z</dcterms:created>
  <dcterms:modified xsi:type="dcterms:W3CDTF">2026-08-22T04:03:29.124Z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